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471E" w14:textId="77777777" w:rsidR="00942AF7" w:rsidRDefault="00942AF7">
      <w:pPr>
        <w:pStyle w:val="BodyText"/>
        <w:spacing w:before="132"/>
        <w:rPr>
          <w:rFonts w:ascii="Times New Roman"/>
          <w:sz w:val="28"/>
        </w:rPr>
      </w:pPr>
    </w:p>
    <w:p w14:paraId="70FD168C" w14:textId="6A3B9AAB" w:rsidR="00942AF7" w:rsidRDefault="00955CDF">
      <w:pPr>
        <w:ind w:left="113" w:right="8"/>
        <w:jc w:val="center"/>
        <w:rPr>
          <w:sz w:val="28"/>
        </w:rPr>
      </w:pPr>
      <w:r>
        <w:rPr>
          <w:sz w:val="28"/>
        </w:rPr>
        <w:t>Senate</w:t>
      </w:r>
      <w:r>
        <w:rPr>
          <w:spacing w:val="-8"/>
          <w:sz w:val="28"/>
        </w:rPr>
        <w:t xml:space="preserve"> Governance </w:t>
      </w:r>
      <w:r>
        <w:rPr>
          <w:sz w:val="28"/>
        </w:rPr>
        <w:t>Committee</w:t>
      </w:r>
      <w:r>
        <w:rPr>
          <w:spacing w:val="-8"/>
          <w:sz w:val="28"/>
        </w:rPr>
        <w:t xml:space="preserve"> </w:t>
      </w:r>
      <w:r w:rsidR="00EE604A">
        <w:rPr>
          <w:spacing w:val="-8"/>
          <w:sz w:val="28"/>
        </w:rPr>
        <w:t>(SGC)</w:t>
      </w:r>
    </w:p>
    <w:p w14:paraId="3856F218" w14:textId="497DD01A" w:rsidR="00942AF7" w:rsidRDefault="00EE604A">
      <w:pPr>
        <w:pStyle w:val="Title"/>
      </w:pPr>
      <w:r>
        <w:t xml:space="preserve">The </w:t>
      </w:r>
      <w:r w:rsidR="009E411E">
        <w:t xml:space="preserve">SGC </w:t>
      </w:r>
      <w:r w:rsidR="00955CDF">
        <w:t>Appeal</w:t>
      </w:r>
      <w:r w:rsidR="009B03F7">
        <w:t>s</w:t>
      </w:r>
      <w:r w:rsidR="00955CDF">
        <w:rPr>
          <w:spacing w:val="34"/>
        </w:rPr>
        <w:t xml:space="preserve"> </w:t>
      </w:r>
      <w:r w:rsidR="00955CDF">
        <w:t>Committee</w:t>
      </w:r>
      <w:r w:rsidR="009B03F7">
        <w:t>:</w:t>
      </w:r>
      <w:r w:rsidR="00955CDF">
        <w:rPr>
          <w:spacing w:val="15"/>
        </w:rPr>
        <w:t xml:space="preserve"> </w:t>
      </w:r>
      <w:r w:rsidR="00955CDF">
        <w:t>Appeal</w:t>
      </w:r>
      <w:r w:rsidR="00955CDF">
        <w:rPr>
          <w:spacing w:val="14"/>
        </w:rPr>
        <w:t xml:space="preserve"> </w:t>
      </w:r>
      <w:r w:rsidR="00955CDF">
        <w:t>Intake</w:t>
      </w:r>
      <w:r w:rsidR="00955CDF">
        <w:rPr>
          <w:spacing w:val="19"/>
        </w:rPr>
        <w:t xml:space="preserve"> </w:t>
      </w:r>
      <w:r w:rsidR="00955CDF">
        <w:t>Panel</w:t>
      </w:r>
      <w:r w:rsidR="00955CDF">
        <w:rPr>
          <w:spacing w:val="10"/>
        </w:rPr>
        <w:t xml:space="preserve"> </w:t>
      </w:r>
      <w:r w:rsidR="00955CDF">
        <w:t>and</w:t>
      </w:r>
      <w:r w:rsidR="00955CDF">
        <w:rPr>
          <w:spacing w:val="15"/>
        </w:rPr>
        <w:t xml:space="preserve"> </w:t>
      </w:r>
      <w:r w:rsidR="00955CDF">
        <w:t>Appeal</w:t>
      </w:r>
      <w:r w:rsidR="00955CDF">
        <w:rPr>
          <w:spacing w:val="13"/>
        </w:rPr>
        <w:t xml:space="preserve"> </w:t>
      </w:r>
      <w:r w:rsidR="00955CDF">
        <w:rPr>
          <w:spacing w:val="-2"/>
        </w:rPr>
        <w:t>Tribunal</w:t>
      </w:r>
    </w:p>
    <w:p w14:paraId="23EA9554" w14:textId="77777777" w:rsidR="009B03F7" w:rsidRDefault="009B03F7">
      <w:pPr>
        <w:spacing w:before="65"/>
        <w:ind w:left="113" w:right="5"/>
        <w:jc w:val="center"/>
        <w:rPr>
          <w:b/>
          <w:sz w:val="28"/>
          <w:szCs w:val="28"/>
        </w:rPr>
      </w:pPr>
    </w:p>
    <w:p w14:paraId="7A9258A9" w14:textId="0A456970" w:rsidR="00942AF7" w:rsidRDefault="00955CDF">
      <w:pPr>
        <w:spacing w:before="65"/>
        <w:ind w:left="113" w:right="5"/>
        <w:jc w:val="center"/>
        <w:rPr>
          <w:b/>
          <w:spacing w:val="-2"/>
          <w:sz w:val="28"/>
          <w:szCs w:val="28"/>
        </w:rPr>
      </w:pPr>
      <w:r w:rsidRPr="004060DC">
        <w:rPr>
          <w:b/>
          <w:sz w:val="28"/>
          <w:szCs w:val="28"/>
        </w:rPr>
        <w:t>Terms</w:t>
      </w:r>
      <w:r w:rsidRPr="004060DC">
        <w:rPr>
          <w:b/>
          <w:spacing w:val="9"/>
          <w:sz w:val="28"/>
          <w:szCs w:val="28"/>
        </w:rPr>
        <w:t xml:space="preserve"> </w:t>
      </w:r>
      <w:r w:rsidRPr="004060DC">
        <w:rPr>
          <w:b/>
          <w:sz w:val="28"/>
          <w:szCs w:val="28"/>
        </w:rPr>
        <w:t>of</w:t>
      </w:r>
      <w:r w:rsidRPr="004060DC">
        <w:rPr>
          <w:b/>
          <w:spacing w:val="8"/>
          <w:sz w:val="28"/>
          <w:szCs w:val="28"/>
        </w:rPr>
        <w:t xml:space="preserve"> </w:t>
      </w:r>
      <w:r w:rsidRPr="004060DC">
        <w:rPr>
          <w:b/>
          <w:spacing w:val="-2"/>
          <w:sz w:val="28"/>
          <w:szCs w:val="28"/>
        </w:rPr>
        <w:t>Reference</w:t>
      </w:r>
    </w:p>
    <w:p w14:paraId="1D348643" w14:textId="77777777" w:rsidR="009B03F7" w:rsidRPr="004060DC" w:rsidRDefault="009B03F7">
      <w:pPr>
        <w:spacing w:before="65"/>
        <w:ind w:left="113" w:right="5"/>
        <w:jc w:val="center"/>
        <w:rPr>
          <w:b/>
          <w:sz w:val="28"/>
          <w:szCs w:val="28"/>
        </w:rPr>
      </w:pPr>
    </w:p>
    <w:p w14:paraId="5B603258" w14:textId="77777777" w:rsidR="00942AF7" w:rsidRDefault="00942AF7">
      <w:pPr>
        <w:pStyle w:val="BodyText"/>
        <w:spacing w:before="20"/>
        <w:rPr>
          <w:b/>
        </w:rPr>
      </w:pPr>
    </w:p>
    <w:p w14:paraId="147849FD" w14:textId="1D3E3767" w:rsidR="00942AF7" w:rsidRDefault="00955CDF">
      <w:pPr>
        <w:pStyle w:val="ListParagraph"/>
        <w:numPr>
          <w:ilvl w:val="0"/>
          <w:numId w:val="1"/>
        </w:numPr>
        <w:tabs>
          <w:tab w:val="left" w:pos="837"/>
          <w:tab w:val="left" w:pos="847"/>
        </w:tabs>
        <w:spacing w:line="249" w:lineRule="auto"/>
        <w:ind w:right="406" w:hanging="701"/>
      </w:pPr>
      <w:r>
        <w:t xml:space="preserve">The </w:t>
      </w:r>
      <w:r w:rsidR="009E411E">
        <w:t xml:space="preserve">SGC </w:t>
      </w:r>
      <w:r>
        <w:t>Appeal</w:t>
      </w:r>
      <w:r w:rsidR="009B03F7">
        <w:t>s</w:t>
      </w:r>
      <w:r>
        <w:t xml:space="preserve"> Committee</w:t>
      </w:r>
      <w:r w:rsidR="009B03F7">
        <w:t xml:space="preserve"> is</w:t>
      </w:r>
      <w:r>
        <w:rPr>
          <w:spacing w:val="-13"/>
        </w:rPr>
        <w:t xml:space="preserve"> </w:t>
      </w:r>
      <w:r>
        <w:t>a committee</w:t>
      </w:r>
      <w:r>
        <w:rPr>
          <w:spacing w:val="-7"/>
        </w:rPr>
        <w:t xml:space="preserve"> </w:t>
      </w:r>
      <w:r>
        <w:t xml:space="preserve">of </w:t>
      </w:r>
      <w:r w:rsidR="009B03F7">
        <w:t>a minimum of ten</w:t>
      </w:r>
      <w:r w:rsidR="005E1315">
        <w:t xml:space="preserve"> members</w:t>
      </w:r>
      <w:r>
        <w:rPr>
          <w:spacing w:val="-4"/>
        </w:rPr>
        <w:t xml:space="preserve"> </w:t>
      </w:r>
      <w:r>
        <w:t>appointed by</w:t>
      </w:r>
      <w:r>
        <w:rPr>
          <w:spacing w:val="-13"/>
        </w:rPr>
        <w:t xml:space="preserve"> </w:t>
      </w:r>
      <w:r>
        <w:t>the Senate Governance Committee.</w:t>
      </w:r>
      <w:r w:rsidR="00AE09F0">
        <w:t xml:space="preserve"> </w:t>
      </w:r>
      <w:r>
        <w:t>SGC seek</w:t>
      </w:r>
      <w:r w:rsidR="009B03F7">
        <w:t>s</w:t>
      </w:r>
      <w:r>
        <w:t xml:space="preserve"> Expressions of Interest from the SGC members as well as the UFV Community. The chair of the Senate Governance Committee</w:t>
      </w:r>
      <w:r w:rsidR="009B03F7">
        <w:t xml:space="preserve"> serves as chair of the</w:t>
      </w:r>
      <w:r w:rsidR="009E411E">
        <w:t xml:space="preserve"> SGC</w:t>
      </w:r>
      <w:r w:rsidR="009B03F7">
        <w:t xml:space="preserve"> Appeals Committee.</w:t>
      </w:r>
      <w:r w:rsidR="004219C0">
        <w:t xml:space="preserve"> Members of SGC are all permitted to serve on the SGC Appeals Committee. Other participants are solicited via UFV Senate’s usual call for Expressions of Interest (EOIs) process.</w:t>
      </w:r>
    </w:p>
    <w:p w14:paraId="65BB3797" w14:textId="77777777" w:rsidR="00942AF7" w:rsidRDefault="00942AF7">
      <w:pPr>
        <w:pStyle w:val="BodyText"/>
        <w:spacing w:before="6"/>
      </w:pPr>
    </w:p>
    <w:p w14:paraId="5A507D09" w14:textId="51D68F05" w:rsidR="00942AF7" w:rsidRDefault="00955CDF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720"/>
      </w:pPr>
      <w:r>
        <w:t>The</w:t>
      </w:r>
      <w:r>
        <w:rPr>
          <w:spacing w:val="-15"/>
        </w:rPr>
        <w:t xml:space="preserve"> </w:t>
      </w:r>
      <w:r w:rsidR="009E411E">
        <w:rPr>
          <w:spacing w:val="-15"/>
        </w:rPr>
        <w:t xml:space="preserve">SGC </w:t>
      </w:r>
      <w:r>
        <w:t>Appeal</w:t>
      </w:r>
      <w:r w:rsidR="009B03F7">
        <w:t>s</w:t>
      </w:r>
      <w:r>
        <w:rPr>
          <w:spacing w:val="-12"/>
        </w:rPr>
        <w:t xml:space="preserve"> </w:t>
      </w:r>
      <w:r>
        <w:t>Committee</w:t>
      </w:r>
      <w:r>
        <w:rPr>
          <w:spacing w:val="-21"/>
        </w:rPr>
        <w:t xml:space="preserve"> </w:t>
      </w:r>
      <w:r>
        <w:t>elect</w:t>
      </w:r>
      <w:r w:rsidR="009B03F7">
        <w:t>s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rPr>
          <w:spacing w:val="-2"/>
        </w:rPr>
        <w:t>chair</w:t>
      </w:r>
      <w:r w:rsidR="009B03F7">
        <w:rPr>
          <w:spacing w:val="-2"/>
        </w:rPr>
        <w:t xml:space="preserve"> who serves as chair </w:t>
      </w:r>
      <w:r w:rsidR="009E411E">
        <w:rPr>
          <w:spacing w:val="-2"/>
        </w:rPr>
        <w:t>if</w:t>
      </w:r>
      <w:r w:rsidR="009B03F7">
        <w:rPr>
          <w:spacing w:val="-2"/>
        </w:rPr>
        <w:t xml:space="preserve"> the chair is unavailable to fulfill their duties.</w:t>
      </w:r>
    </w:p>
    <w:p w14:paraId="5CD9B2A9" w14:textId="77777777" w:rsidR="00942AF7" w:rsidRDefault="00942AF7">
      <w:pPr>
        <w:pStyle w:val="BodyText"/>
        <w:spacing w:before="19"/>
      </w:pPr>
    </w:p>
    <w:p w14:paraId="26A7E8EB" w14:textId="15562A29" w:rsidR="00942AF7" w:rsidRDefault="00955CDF">
      <w:pPr>
        <w:pStyle w:val="ListParagraph"/>
        <w:numPr>
          <w:ilvl w:val="0"/>
          <w:numId w:val="1"/>
        </w:numPr>
        <w:tabs>
          <w:tab w:val="left" w:pos="818"/>
          <w:tab w:val="left" w:pos="832"/>
        </w:tabs>
        <w:spacing w:line="247" w:lineRule="auto"/>
        <w:ind w:left="832" w:right="111" w:hanging="715"/>
      </w:pPr>
      <w:r>
        <w:t>The Student Rights and Responsibilities Office forward</w:t>
      </w:r>
      <w:r w:rsidR="009E411E">
        <w:t>s</w:t>
      </w:r>
      <w:r>
        <w:t xml:space="preserve"> all appeals to the chair of the Senate Governance</w:t>
      </w:r>
      <w:r w:rsidR="009E411E">
        <w:t xml:space="preserve"> Committee</w:t>
      </w:r>
      <w:r>
        <w:t>.</w:t>
      </w:r>
      <w:r>
        <w:rPr>
          <w:spacing w:val="-2"/>
        </w:rPr>
        <w:t xml:space="preserve"> </w:t>
      </w:r>
      <w:r>
        <w:t>The chair designate</w:t>
      </w:r>
      <w:r w:rsidR="009E411E">
        <w:t>s</w:t>
      </w:r>
      <w:r>
        <w:rPr>
          <w:spacing w:val="-13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members</w:t>
      </w:r>
      <w:r>
        <w:rPr>
          <w:spacing w:val="-13"/>
        </w:rPr>
        <w:t xml:space="preserve"> </w:t>
      </w:r>
      <w:proofErr w:type="gramStart"/>
      <w:r>
        <w:t>to</w:t>
      </w:r>
      <w:proofErr w:type="gramEnd"/>
      <w:r>
        <w:rPr>
          <w:spacing w:val="-3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Intake Panel</w:t>
      </w:r>
      <w:r>
        <w:rPr>
          <w:spacing w:val="-1"/>
        </w:rPr>
        <w:t xml:space="preserve"> </w:t>
      </w:r>
      <w:r>
        <w:t>to do an initial review of the appeal,</w:t>
      </w:r>
      <w:r>
        <w:rPr>
          <w:spacing w:val="-6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 availability</w:t>
      </w:r>
      <w:r>
        <w:rPr>
          <w:spacing w:val="-15"/>
        </w:rPr>
        <w:t xml:space="preserve"> </w:t>
      </w:r>
      <w:r>
        <w:t>of members</w:t>
      </w:r>
      <w:r>
        <w:rPr>
          <w:spacing w:val="-15"/>
        </w:rPr>
        <w:t xml:space="preserve"> </w:t>
      </w:r>
      <w:r>
        <w:t>and any issues</w:t>
      </w:r>
      <w:r>
        <w:rPr>
          <w:spacing w:val="-1"/>
        </w:rPr>
        <w:t xml:space="preserve"> </w:t>
      </w:r>
      <w:r>
        <w:t>of potential</w:t>
      </w:r>
      <w:r>
        <w:rPr>
          <w:spacing w:val="-14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 interest. The Appeal Intake Panel, when possible, include</w:t>
      </w:r>
      <w:r w:rsidR="009E411E">
        <w:t>s</w:t>
      </w:r>
      <w:r>
        <w:t xml:space="preserve"> at least one student and one faculty member. The Appeal Intake Panel elect</w:t>
      </w:r>
      <w:r w:rsidR="009E411E">
        <w:t>s</w:t>
      </w:r>
      <w:r>
        <w:t xml:space="preserve"> a chair</w:t>
      </w:r>
      <w:r w:rsidR="009E411E">
        <w:t>.</w:t>
      </w:r>
    </w:p>
    <w:p w14:paraId="129F4BF3" w14:textId="77777777" w:rsidR="00942AF7" w:rsidRDefault="00942AF7">
      <w:pPr>
        <w:pStyle w:val="BodyText"/>
        <w:spacing w:before="18"/>
      </w:pPr>
    </w:p>
    <w:p w14:paraId="0431752F" w14:textId="708A01BC" w:rsidR="00942AF7" w:rsidRDefault="00955CDF">
      <w:pPr>
        <w:pStyle w:val="ListParagraph"/>
        <w:numPr>
          <w:ilvl w:val="0"/>
          <w:numId w:val="1"/>
        </w:numPr>
        <w:tabs>
          <w:tab w:val="left" w:pos="817"/>
        </w:tabs>
        <w:spacing w:line="249" w:lineRule="auto"/>
        <w:ind w:left="817" w:right="464" w:hanging="715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Appeal</w:t>
      </w:r>
      <w:r>
        <w:rPr>
          <w:spacing w:val="-18"/>
        </w:rPr>
        <w:t xml:space="preserve"> </w:t>
      </w:r>
      <w:r>
        <w:rPr>
          <w:spacing w:val="-2"/>
        </w:rPr>
        <w:t>Intake</w:t>
      </w:r>
      <w:r>
        <w:rPr>
          <w:spacing w:val="-5"/>
        </w:rPr>
        <w:t xml:space="preserve"> </w:t>
      </w:r>
      <w:r>
        <w:rPr>
          <w:spacing w:val="-2"/>
        </w:rPr>
        <w:t>Panel</w:t>
      </w:r>
      <w:r>
        <w:rPr>
          <w:spacing w:val="-13"/>
        </w:rPr>
        <w:t xml:space="preserve"> </w:t>
      </w:r>
      <w:r>
        <w:rPr>
          <w:spacing w:val="-2"/>
        </w:rPr>
        <w:t>conduct</w:t>
      </w:r>
      <w:r w:rsidR="009E411E">
        <w:rPr>
          <w:spacing w:val="-2"/>
        </w:rPr>
        <w:t>s</w:t>
      </w:r>
      <w:r>
        <w:rPr>
          <w:spacing w:val="-13"/>
        </w:rPr>
        <w:t xml:space="preserve"> </w:t>
      </w:r>
      <w:r>
        <w:rPr>
          <w:spacing w:val="-2"/>
        </w:rPr>
        <w:t>an initial</w:t>
      </w:r>
      <w:r>
        <w:rPr>
          <w:spacing w:val="-4"/>
        </w:rPr>
        <w:t xml:space="preserve"> </w:t>
      </w:r>
      <w:r>
        <w:rPr>
          <w:spacing w:val="-2"/>
        </w:rPr>
        <w:t>review</w:t>
      </w:r>
      <w:r>
        <w:rPr>
          <w:spacing w:val="-10"/>
        </w:rPr>
        <w:t xml:space="preserve"> </w:t>
      </w:r>
      <w:r>
        <w:rPr>
          <w:spacing w:val="-2"/>
        </w:rPr>
        <w:t>of the appeal</w:t>
      </w:r>
      <w:r>
        <w:rPr>
          <w:spacing w:val="-4"/>
        </w:rPr>
        <w:t xml:space="preserve"> </w:t>
      </w:r>
      <w:r>
        <w:rPr>
          <w:spacing w:val="-2"/>
        </w:rPr>
        <w:t xml:space="preserve">to determine whether the </w:t>
      </w:r>
      <w:r>
        <w:t xml:space="preserve">appeal fits </w:t>
      </w:r>
      <w:proofErr w:type="gramStart"/>
      <w:r w:rsidR="00EB70B0">
        <w:t>all of</w:t>
      </w:r>
      <w:proofErr w:type="gramEnd"/>
      <w:r w:rsidR="00EB70B0">
        <w:t xml:space="preserve"> </w:t>
      </w:r>
      <w:r>
        <w:t>the following criteria:</w:t>
      </w:r>
    </w:p>
    <w:p w14:paraId="78693F9F" w14:textId="77777777" w:rsidR="00942AF7" w:rsidRDefault="00942AF7">
      <w:pPr>
        <w:pStyle w:val="BodyText"/>
        <w:spacing w:before="3"/>
      </w:pPr>
    </w:p>
    <w:p w14:paraId="78BAB5C3" w14:textId="29BB3E7D" w:rsidR="00942AF7" w:rsidRDefault="00955CDF">
      <w:pPr>
        <w:pStyle w:val="ListParagraph"/>
        <w:numPr>
          <w:ilvl w:val="1"/>
          <w:numId w:val="1"/>
        </w:numPr>
        <w:tabs>
          <w:tab w:val="left" w:pos="1393"/>
        </w:tabs>
        <w:ind w:right="164"/>
      </w:pP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is within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jurisdiction</w:t>
      </w:r>
      <w:r>
        <w:rPr>
          <w:spacing w:val="-1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proofErr w:type="gramStart"/>
      <w:r>
        <w:t>Senate</w:t>
      </w:r>
      <w:r>
        <w:rPr>
          <w:spacing w:val="-2"/>
        </w:rPr>
        <w:t>;</w:t>
      </w:r>
      <w:proofErr w:type="gramEnd"/>
    </w:p>
    <w:p w14:paraId="2DDBF58C" w14:textId="77777777" w:rsidR="00942AF7" w:rsidRPr="004060DC" w:rsidRDefault="00955CDF">
      <w:pPr>
        <w:pStyle w:val="ListParagraph"/>
        <w:numPr>
          <w:ilvl w:val="1"/>
          <w:numId w:val="1"/>
        </w:numPr>
        <w:tabs>
          <w:tab w:val="left" w:pos="1393"/>
        </w:tabs>
        <w:spacing w:before="5" w:line="247" w:lineRule="auto"/>
        <w:ind w:right="708" w:hanging="611"/>
      </w:pPr>
      <w:r>
        <w:t>whether the appeal constitutes a prima</w:t>
      </w:r>
      <w:r>
        <w:rPr>
          <w:spacing w:val="-8"/>
        </w:rPr>
        <w:t xml:space="preserve"> </w:t>
      </w:r>
      <w:r>
        <w:t>facie</w:t>
      </w:r>
      <w:r>
        <w:rPr>
          <w:spacing w:val="-7"/>
        </w:rPr>
        <w:t xml:space="preserve"> </w:t>
      </w:r>
      <w:r>
        <w:t>case, such that if the allegations contained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proven,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could be</w:t>
      </w:r>
      <w:r>
        <w:rPr>
          <w:spacing w:val="-13"/>
        </w:rPr>
        <w:t xml:space="preserve"> </w:t>
      </w:r>
      <w:r>
        <w:t>successful,</w:t>
      </w:r>
      <w:r>
        <w:rPr>
          <w:spacing w:val="-10"/>
        </w:rPr>
        <w:t xml:space="preserve"> </w:t>
      </w:r>
      <w:r>
        <w:t>and provide</w:t>
      </w:r>
      <w:r>
        <w:rPr>
          <w:spacing w:val="-13"/>
        </w:rPr>
        <w:t xml:space="preserve"> </w:t>
      </w:r>
      <w:r>
        <w:t xml:space="preserve">a </w:t>
      </w:r>
      <w:proofErr w:type="gramStart"/>
      <w:r>
        <w:rPr>
          <w:spacing w:val="-2"/>
        </w:rPr>
        <w:t>remedy;</w:t>
      </w:r>
      <w:proofErr w:type="gramEnd"/>
    </w:p>
    <w:p w14:paraId="14813296" w14:textId="33DDB560" w:rsidR="003771B0" w:rsidRDefault="003771B0">
      <w:pPr>
        <w:pStyle w:val="ListParagraph"/>
        <w:numPr>
          <w:ilvl w:val="1"/>
          <w:numId w:val="1"/>
        </w:numPr>
        <w:tabs>
          <w:tab w:val="left" w:pos="1393"/>
        </w:tabs>
        <w:spacing w:before="5" w:line="247" w:lineRule="auto"/>
        <w:ind w:right="708" w:hanging="611"/>
      </w:pPr>
      <w:r>
        <w:rPr>
          <w:spacing w:val="-2"/>
        </w:rPr>
        <w:t xml:space="preserve">That the appeal </w:t>
      </w:r>
      <w:r w:rsidR="00150DD5">
        <w:rPr>
          <w:spacing w:val="-2"/>
        </w:rPr>
        <w:t xml:space="preserve">meets at least one of </w:t>
      </w:r>
      <w:r>
        <w:rPr>
          <w:spacing w:val="-2"/>
        </w:rPr>
        <w:t>the criteria for which appeals are permitted.</w:t>
      </w:r>
    </w:p>
    <w:p w14:paraId="6A67D180" w14:textId="77777777" w:rsidR="00942AF7" w:rsidRDefault="00955CDF">
      <w:pPr>
        <w:pStyle w:val="ListParagraph"/>
        <w:numPr>
          <w:ilvl w:val="1"/>
          <w:numId w:val="1"/>
        </w:numPr>
        <w:tabs>
          <w:tab w:val="left" w:pos="1394"/>
        </w:tabs>
        <w:spacing w:before="15" w:line="244" w:lineRule="auto"/>
        <w:ind w:left="1394" w:right="780" w:hanging="581"/>
      </w:pP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on its clear</w:t>
      </w:r>
      <w:r>
        <w:rPr>
          <w:spacing w:val="-1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without</w:t>
      </w:r>
      <w:r>
        <w:rPr>
          <w:spacing w:val="-14"/>
        </w:rPr>
        <w:t xml:space="preserve"> </w:t>
      </w:r>
      <w:r>
        <w:t>merit</w:t>
      </w:r>
      <w:r>
        <w:rPr>
          <w:spacing w:val="-10"/>
        </w:rPr>
        <w:t xml:space="preserve"> </w:t>
      </w:r>
      <w:r>
        <w:t>and vexatious,</w:t>
      </w:r>
      <w:r>
        <w:rPr>
          <w:spacing w:val="-1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 abuse</w:t>
      </w:r>
      <w:r>
        <w:rPr>
          <w:spacing w:val="-7"/>
        </w:rPr>
        <w:t xml:space="preserve"> </w:t>
      </w:r>
      <w:r>
        <w:t xml:space="preserve">of </w:t>
      </w:r>
      <w:r>
        <w:rPr>
          <w:spacing w:val="-2"/>
        </w:rPr>
        <w:t>process.</w:t>
      </w:r>
    </w:p>
    <w:p w14:paraId="2BDD0CF1" w14:textId="1ADEDB90" w:rsidR="00942AF7" w:rsidRPr="00B85E92" w:rsidRDefault="00955CDF">
      <w:pPr>
        <w:pStyle w:val="ListParagraph"/>
        <w:numPr>
          <w:ilvl w:val="0"/>
          <w:numId w:val="1"/>
        </w:numPr>
        <w:tabs>
          <w:tab w:val="left" w:pos="688"/>
          <w:tab w:val="left" w:pos="712"/>
        </w:tabs>
        <w:spacing w:before="259" w:line="247" w:lineRule="auto"/>
        <w:ind w:left="688" w:right="104" w:hanging="586"/>
      </w:pPr>
      <w:r>
        <w:tab/>
      </w:r>
      <w:r>
        <w:rPr>
          <w:spacing w:val="-4"/>
        </w:rPr>
        <w:t>If there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determination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matter</w:t>
      </w:r>
      <w:r>
        <w:rPr>
          <w:spacing w:val="-6"/>
        </w:rPr>
        <w:t xml:space="preserve"> </w:t>
      </w:r>
      <w:r w:rsidR="00150DD5">
        <w:rPr>
          <w:spacing w:val="-4"/>
        </w:rPr>
        <w:t>does</w:t>
      </w:r>
      <w:r>
        <w:rPr>
          <w:spacing w:val="-17"/>
        </w:rPr>
        <w:t xml:space="preserve"> </w:t>
      </w:r>
      <w:r>
        <w:rPr>
          <w:spacing w:val="-4"/>
        </w:rPr>
        <w:t>not</w:t>
      </w:r>
      <w:r>
        <w:rPr>
          <w:spacing w:val="-22"/>
        </w:rPr>
        <w:t xml:space="preserve"> </w:t>
      </w:r>
      <w:r>
        <w:rPr>
          <w:spacing w:val="-4"/>
        </w:rPr>
        <w:t>go</w:t>
      </w:r>
      <w:r>
        <w:rPr>
          <w:spacing w:val="-17"/>
        </w:rPr>
        <w:t xml:space="preserve"> </w:t>
      </w:r>
      <w:r>
        <w:rPr>
          <w:spacing w:val="-4"/>
        </w:rPr>
        <w:t>forward</w:t>
      </w:r>
      <w:r>
        <w:rPr>
          <w:spacing w:val="-17"/>
        </w:rPr>
        <w:t xml:space="preserve"> </w:t>
      </w:r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appeal,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chair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 xml:space="preserve">Appeal </w:t>
      </w:r>
      <w:r>
        <w:rPr>
          <w:spacing w:val="-6"/>
        </w:rPr>
        <w:t>Intake</w:t>
      </w:r>
      <w:r>
        <w:rPr>
          <w:spacing w:val="-23"/>
        </w:rPr>
        <w:t xml:space="preserve"> </w:t>
      </w:r>
      <w:r>
        <w:rPr>
          <w:spacing w:val="-6"/>
        </w:rPr>
        <w:t>Panel</w:t>
      </w:r>
      <w:r>
        <w:rPr>
          <w:spacing w:val="-15"/>
        </w:rPr>
        <w:t xml:space="preserve"> </w:t>
      </w:r>
      <w:r>
        <w:rPr>
          <w:spacing w:val="-6"/>
        </w:rPr>
        <w:t>provide</w:t>
      </w:r>
      <w:r w:rsidR="003771B0">
        <w:rPr>
          <w:spacing w:val="-6"/>
        </w:rPr>
        <w:t>s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panel’s</w:t>
      </w:r>
      <w:r>
        <w:rPr>
          <w:spacing w:val="-17"/>
        </w:rPr>
        <w:t xml:space="preserve"> </w:t>
      </w:r>
      <w:r>
        <w:rPr>
          <w:spacing w:val="-6"/>
        </w:rPr>
        <w:t>written</w:t>
      </w:r>
      <w:r>
        <w:rPr>
          <w:spacing w:val="-17"/>
        </w:rPr>
        <w:t xml:space="preserve"> </w:t>
      </w:r>
      <w:r>
        <w:rPr>
          <w:spacing w:val="-6"/>
        </w:rPr>
        <w:t>decision</w:t>
      </w:r>
      <w:r>
        <w:rPr>
          <w:spacing w:val="-17"/>
        </w:rPr>
        <w:t xml:space="preserve"> </w:t>
      </w:r>
      <w:r>
        <w:rPr>
          <w:spacing w:val="-6"/>
        </w:rPr>
        <w:t>and</w:t>
      </w:r>
      <w:r>
        <w:rPr>
          <w:spacing w:val="-17"/>
        </w:rPr>
        <w:t xml:space="preserve"> </w:t>
      </w:r>
      <w:r>
        <w:rPr>
          <w:spacing w:val="-6"/>
        </w:rPr>
        <w:t>rationale</w:t>
      </w:r>
      <w:r>
        <w:rPr>
          <w:spacing w:val="-16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Senate</w:t>
      </w:r>
      <w:r>
        <w:rPr>
          <w:spacing w:val="-16"/>
        </w:rPr>
        <w:t xml:space="preserve"> Governance </w:t>
      </w:r>
      <w:r>
        <w:rPr>
          <w:spacing w:val="-6"/>
        </w:rPr>
        <w:t>Committee.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chair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 xml:space="preserve">Senate Governance </w:t>
      </w:r>
      <w:r>
        <w:rPr>
          <w:spacing w:val="-8"/>
        </w:rPr>
        <w:t>Committee</w:t>
      </w:r>
      <w:r>
        <w:rPr>
          <w:spacing w:val="-10"/>
        </w:rPr>
        <w:t xml:space="preserve"> </w:t>
      </w:r>
      <w:r>
        <w:rPr>
          <w:spacing w:val="-8"/>
        </w:rPr>
        <w:t>forward</w:t>
      </w:r>
      <w:r w:rsidR="00150DD5">
        <w:rPr>
          <w:spacing w:val="-8"/>
        </w:rPr>
        <w:t>s</w:t>
      </w:r>
      <w:r>
        <w:rPr>
          <w:spacing w:val="-8"/>
        </w:rPr>
        <w:t xml:space="preserve"> the</w:t>
      </w:r>
      <w:r>
        <w:rPr>
          <w:spacing w:val="-10"/>
        </w:rPr>
        <w:t xml:space="preserve"> </w:t>
      </w:r>
      <w:r>
        <w:rPr>
          <w:spacing w:val="-8"/>
        </w:rPr>
        <w:t>decision</w:t>
      </w:r>
      <w:r>
        <w:rPr>
          <w:spacing w:val="-11"/>
        </w:rPr>
        <w:t xml:space="preserve"> </w:t>
      </w:r>
      <w:r>
        <w:rPr>
          <w:spacing w:val="-8"/>
        </w:rPr>
        <w:t>and</w:t>
      </w:r>
      <w:r>
        <w:rPr>
          <w:spacing w:val="-11"/>
        </w:rPr>
        <w:t xml:space="preserve"> </w:t>
      </w:r>
      <w:r>
        <w:rPr>
          <w:spacing w:val="-8"/>
        </w:rPr>
        <w:t>rationale</w:t>
      </w:r>
      <w:r>
        <w:rPr>
          <w:spacing w:val="-10"/>
        </w:rPr>
        <w:t xml:space="preserve"> </w:t>
      </w:r>
      <w:r>
        <w:rPr>
          <w:spacing w:val="-8"/>
        </w:rPr>
        <w:t>to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 w:rsidR="006B22DB" w:rsidRPr="00B85E92">
        <w:rPr>
          <w:spacing w:val="-8"/>
        </w:rPr>
        <w:t>Student Rights and Responsibilities Office (SSRO)</w:t>
      </w:r>
      <w:r w:rsidRPr="00B85E92">
        <w:rPr>
          <w:spacing w:val="-8"/>
        </w:rPr>
        <w:t xml:space="preserve">. The </w:t>
      </w:r>
      <w:r w:rsidR="006B22DB" w:rsidRPr="00B85E92">
        <w:rPr>
          <w:spacing w:val="-8"/>
        </w:rPr>
        <w:t>SSRO</w:t>
      </w:r>
      <w:r w:rsidRPr="00B85E92">
        <w:rPr>
          <w:spacing w:val="-6"/>
        </w:rPr>
        <w:t>,</w:t>
      </w:r>
      <w:r w:rsidRPr="00B85E92">
        <w:rPr>
          <w:spacing w:val="-15"/>
        </w:rPr>
        <w:t xml:space="preserve"> </w:t>
      </w:r>
      <w:r w:rsidRPr="00B85E92">
        <w:rPr>
          <w:spacing w:val="-6"/>
        </w:rPr>
        <w:t>responsible</w:t>
      </w:r>
      <w:r w:rsidRPr="00B85E92">
        <w:rPr>
          <w:spacing w:val="-11"/>
        </w:rPr>
        <w:t xml:space="preserve"> </w:t>
      </w:r>
      <w:r w:rsidRPr="00B85E92">
        <w:rPr>
          <w:spacing w:val="-6"/>
        </w:rPr>
        <w:t>for</w:t>
      </w:r>
      <w:r w:rsidRPr="00B85E92">
        <w:rPr>
          <w:spacing w:val="-12"/>
        </w:rPr>
        <w:t xml:space="preserve"> </w:t>
      </w:r>
      <w:r w:rsidRPr="00B85E92">
        <w:rPr>
          <w:spacing w:val="-6"/>
        </w:rPr>
        <w:t>all</w:t>
      </w:r>
      <w:r w:rsidRPr="00B85E92">
        <w:rPr>
          <w:spacing w:val="-9"/>
        </w:rPr>
        <w:t xml:space="preserve"> </w:t>
      </w:r>
      <w:r w:rsidRPr="00B85E92">
        <w:rPr>
          <w:spacing w:val="-6"/>
        </w:rPr>
        <w:t>communication</w:t>
      </w:r>
      <w:r w:rsidRPr="00B85E92">
        <w:rPr>
          <w:spacing w:val="-12"/>
        </w:rPr>
        <w:t xml:space="preserve"> </w:t>
      </w:r>
      <w:r w:rsidRPr="00B85E92">
        <w:rPr>
          <w:spacing w:val="-6"/>
        </w:rPr>
        <w:t>with</w:t>
      </w:r>
      <w:r w:rsidRPr="00B85E92">
        <w:rPr>
          <w:spacing w:val="-12"/>
        </w:rPr>
        <w:t xml:space="preserve"> </w:t>
      </w:r>
      <w:r w:rsidRPr="00B85E92">
        <w:rPr>
          <w:spacing w:val="-6"/>
        </w:rPr>
        <w:t>the</w:t>
      </w:r>
      <w:r w:rsidRPr="00B85E92">
        <w:rPr>
          <w:spacing w:val="-11"/>
        </w:rPr>
        <w:t xml:space="preserve"> </w:t>
      </w:r>
      <w:r w:rsidRPr="00B85E92">
        <w:rPr>
          <w:spacing w:val="-6"/>
        </w:rPr>
        <w:t>Appellant</w:t>
      </w:r>
      <w:r w:rsidRPr="00B85E92">
        <w:rPr>
          <w:spacing w:val="-15"/>
        </w:rPr>
        <w:t xml:space="preserve"> </w:t>
      </w:r>
      <w:r w:rsidRPr="00B85E92">
        <w:rPr>
          <w:spacing w:val="-6"/>
        </w:rPr>
        <w:t>and</w:t>
      </w:r>
      <w:r w:rsidRPr="00B85E92">
        <w:rPr>
          <w:spacing w:val="-12"/>
        </w:rPr>
        <w:t xml:space="preserve"> </w:t>
      </w:r>
      <w:r w:rsidRPr="00B85E92">
        <w:rPr>
          <w:spacing w:val="-6"/>
        </w:rPr>
        <w:t>Respondent,</w:t>
      </w:r>
      <w:r w:rsidRPr="00B85E92">
        <w:rPr>
          <w:spacing w:val="-15"/>
        </w:rPr>
        <w:t xml:space="preserve"> </w:t>
      </w:r>
      <w:r w:rsidRPr="00B85E92">
        <w:rPr>
          <w:spacing w:val="-6"/>
        </w:rPr>
        <w:t>forward</w:t>
      </w:r>
      <w:r w:rsidR="00150DD5" w:rsidRPr="00B85E92">
        <w:rPr>
          <w:spacing w:val="-6"/>
        </w:rPr>
        <w:t>s</w:t>
      </w:r>
      <w:r w:rsidRPr="00B85E92">
        <w:rPr>
          <w:spacing w:val="-6"/>
        </w:rPr>
        <w:t xml:space="preserve"> the</w:t>
      </w:r>
      <w:r w:rsidRPr="00B85E92">
        <w:rPr>
          <w:spacing w:val="-8"/>
        </w:rPr>
        <w:t xml:space="preserve"> </w:t>
      </w:r>
      <w:r w:rsidRPr="00B85E92">
        <w:rPr>
          <w:spacing w:val="-6"/>
        </w:rPr>
        <w:t>written</w:t>
      </w:r>
      <w:r w:rsidRPr="00B85E92">
        <w:rPr>
          <w:spacing w:val="-9"/>
        </w:rPr>
        <w:t xml:space="preserve"> </w:t>
      </w:r>
      <w:r w:rsidRPr="00B85E92">
        <w:rPr>
          <w:spacing w:val="-6"/>
        </w:rPr>
        <w:t>decision</w:t>
      </w:r>
      <w:r w:rsidRPr="00B85E92">
        <w:rPr>
          <w:spacing w:val="-9"/>
        </w:rPr>
        <w:t xml:space="preserve"> </w:t>
      </w:r>
      <w:r w:rsidRPr="00B85E92">
        <w:rPr>
          <w:spacing w:val="-6"/>
        </w:rPr>
        <w:t>and</w:t>
      </w:r>
      <w:r w:rsidRPr="00B85E92">
        <w:rPr>
          <w:spacing w:val="-9"/>
        </w:rPr>
        <w:t xml:space="preserve"> </w:t>
      </w:r>
      <w:r w:rsidRPr="00B85E92">
        <w:rPr>
          <w:spacing w:val="-6"/>
        </w:rPr>
        <w:t>rationale</w:t>
      </w:r>
      <w:r w:rsidRPr="00B85E92">
        <w:rPr>
          <w:spacing w:val="-8"/>
        </w:rPr>
        <w:t xml:space="preserve"> </w:t>
      </w:r>
      <w:r w:rsidRPr="00B85E92">
        <w:rPr>
          <w:spacing w:val="-6"/>
        </w:rPr>
        <w:t>to</w:t>
      </w:r>
      <w:r w:rsidRPr="00B85E92">
        <w:rPr>
          <w:spacing w:val="-11"/>
        </w:rPr>
        <w:t xml:space="preserve"> </w:t>
      </w:r>
      <w:r w:rsidRPr="00B85E92">
        <w:rPr>
          <w:spacing w:val="-6"/>
        </w:rPr>
        <w:t>the</w:t>
      </w:r>
      <w:r w:rsidRPr="00B85E92">
        <w:rPr>
          <w:spacing w:val="-8"/>
        </w:rPr>
        <w:t xml:space="preserve"> </w:t>
      </w:r>
      <w:r w:rsidRPr="00B85E92">
        <w:rPr>
          <w:spacing w:val="-6"/>
        </w:rPr>
        <w:t>Appellant and</w:t>
      </w:r>
      <w:r w:rsidRPr="00B85E92">
        <w:rPr>
          <w:spacing w:val="-9"/>
        </w:rPr>
        <w:t xml:space="preserve"> </w:t>
      </w:r>
      <w:r w:rsidRPr="00B85E92">
        <w:rPr>
          <w:spacing w:val="-6"/>
        </w:rPr>
        <w:t>Respondent.</w:t>
      </w:r>
    </w:p>
    <w:p w14:paraId="5A46538A" w14:textId="77777777" w:rsidR="00942AF7" w:rsidRDefault="00942AF7">
      <w:pPr>
        <w:pStyle w:val="BodyText"/>
        <w:spacing w:before="6"/>
      </w:pPr>
    </w:p>
    <w:p w14:paraId="56FFB4BE" w14:textId="5375FB83" w:rsidR="00942AF7" w:rsidRDefault="00955CDF">
      <w:pPr>
        <w:pStyle w:val="ListParagraph"/>
        <w:numPr>
          <w:ilvl w:val="0"/>
          <w:numId w:val="1"/>
        </w:numPr>
        <w:tabs>
          <w:tab w:val="left" w:pos="688"/>
          <w:tab w:val="left" w:pos="712"/>
        </w:tabs>
        <w:spacing w:line="247" w:lineRule="auto"/>
        <w:ind w:left="688" w:right="113" w:hanging="586"/>
      </w:pPr>
      <w:r>
        <w:tab/>
        <w:t>If</w:t>
      </w:r>
      <w:r>
        <w:rPr>
          <w:spacing w:val="-1"/>
        </w:rPr>
        <w:t xml:space="preserve"> </w:t>
      </w:r>
      <w:r>
        <w:t>there is a</w:t>
      </w:r>
      <w:r>
        <w:rPr>
          <w:spacing w:val="-1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the matter </w:t>
      </w:r>
      <w:r w:rsidR="00150DD5">
        <w:t>is to</w:t>
      </w:r>
      <w:r>
        <w:t xml:space="preserve"> be</w:t>
      </w:r>
      <w:r>
        <w:rPr>
          <w:spacing w:val="-10"/>
        </w:rPr>
        <w:t xml:space="preserve"> </w:t>
      </w:r>
      <w:r>
        <w:t>heard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appeal,</w:t>
      </w:r>
      <w:r>
        <w:rPr>
          <w:spacing w:val="-7"/>
        </w:rPr>
        <w:t xml:space="preserve"> </w:t>
      </w:r>
      <w:r>
        <w:t xml:space="preserve">the chair of the </w:t>
      </w:r>
      <w:r w:rsidR="003771B0">
        <w:t xml:space="preserve">SGC </w:t>
      </w:r>
      <w:r>
        <w:t>Appeal</w:t>
      </w:r>
      <w:r w:rsidR="003771B0">
        <w:t>s Committee</w:t>
      </w:r>
      <w:r>
        <w:t xml:space="preserve"> designate</w:t>
      </w:r>
      <w:r w:rsidR="003771B0">
        <w:t>s</w:t>
      </w:r>
      <w:r>
        <w:rPr>
          <w:spacing w:val="-7"/>
        </w:rPr>
        <w:t xml:space="preserve"> </w:t>
      </w:r>
      <w:r>
        <w:t xml:space="preserve">a </w:t>
      </w:r>
      <w:r w:rsidR="00741526">
        <w:t>three</w:t>
      </w:r>
      <w:r w:rsidR="00741526">
        <w:rPr>
          <w:spacing w:val="-6"/>
        </w:rPr>
        <w:t>-member</w:t>
      </w:r>
      <w:r>
        <w:rPr>
          <w:spacing w:val="-17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Tribunal</w:t>
      </w:r>
      <w:r>
        <w:rPr>
          <w:spacing w:val="40"/>
        </w:rPr>
        <w:t xml:space="preserve"> </w:t>
      </w:r>
      <w:r>
        <w:t xml:space="preserve">None of the three members on the Appeal Intake Panel who conducted the initial review </w:t>
      </w:r>
      <w:r w:rsidR="00150DD5">
        <w:t>are</w:t>
      </w:r>
      <w:r>
        <w:t xml:space="preserve"> members of the Appeal Tribunal.</w:t>
      </w:r>
    </w:p>
    <w:p w14:paraId="2AC5AE2C" w14:textId="77777777" w:rsidR="00942AF7" w:rsidRDefault="00942AF7">
      <w:pPr>
        <w:spacing w:line="247" w:lineRule="auto"/>
        <w:sectPr w:rsidR="00942AF7">
          <w:headerReference w:type="default" r:id="rId7"/>
          <w:footerReference w:type="default" r:id="rId8"/>
          <w:type w:val="continuous"/>
          <w:pgSz w:w="12260" w:h="15860"/>
          <w:pgMar w:top="1340" w:right="1440" w:bottom="900" w:left="1380" w:header="245" w:footer="714" w:gutter="0"/>
          <w:pgNumType w:start="1"/>
          <w:cols w:space="720"/>
        </w:sectPr>
      </w:pPr>
    </w:p>
    <w:p w14:paraId="7CB79CF5" w14:textId="7EC3D64A" w:rsidR="00942AF7" w:rsidRDefault="00955CDF">
      <w:pPr>
        <w:pStyle w:val="ListParagraph"/>
        <w:numPr>
          <w:ilvl w:val="0"/>
          <w:numId w:val="1"/>
        </w:numPr>
        <w:tabs>
          <w:tab w:val="left" w:pos="688"/>
          <w:tab w:val="left" w:pos="712"/>
        </w:tabs>
        <w:spacing w:before="46" w:line="244" w:lineRule="auto"/>
        <w:ind w:left="688" w:right="315" w:hanging="586"/>
      </w:pPr>
      <w:r>
        <w:lastRenderedPageBreak/>
        <w:tab/>
        <w:t>The Appeal</w:t>
      </w:r>
      <w:r>
        <w:rPr>
          <w:spacing w:val="-1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designate</w:t>
      </w:r>
      <w:r w:rsidR="0054188E">
        <w:t>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respondent(s),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who</w:t>
      </w:r>
      <w:r>
        <w:rPr>
          <w:spacing w:val="-5"/>
        </w:rPr>
        <w:t xml:space="preserve"> </w:t>
      </w:r>
      <w:r w:rsidR="0054188E">
        <w:rPr>
          <w:spacing w:val="-5"/>
        </w:rPr>
        <w:t>are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 xml:space="preserve">by the </w:t>
      </w:r>
      <w:r w:rsidR="0054188E">
        <w:t>SSRO</w:t>
      </w:r>
      <w:r>
        <w:t>, and an opportunity to take part in the tribunal hearing.</w:t>
      </w:r>
    </w:p>
    <w:p w14:paraId="2B0D4E14" w14:textId="77777777" w:rsidR="00942AF7" w:rsidRDefault="00942AF7">
      <w:pPr>
        <w:pStyle w:val="BodyText"/>
        <w:spacing w:before="9"/>
      </w:pPr>
    </w:p>
    <w:p w14:paraId="38791E79" w14:textId="02F557C0" w:rsidR="00942AF7" w:rsidRDefault="00955CDF">
      <w:pPr>
        <w:pStyle w:val="ListParagraph"/>
        <w:numPr>
          <w:ilvl w:val="0"/>
          <w:numId w:val="1"/>
        </w:numPr>
        <w:tabs>
          <w:tab w:val="left" w:pos="818"/>
        </w:tabs>
        <w:spacing w:line="249" w:lineRule="auto"/>
        <w:ind w:left="818" w:right="125" w:hanging="716"/>
      </w:pPr>
      <w:r>
        <w:t>All</w:t>
      </w:r>
      <w:r>
        <w:rPr>
          <w:spacing w:val="-1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efforts</w:t>
      </w:r>
      <w:r>
        <w:rPr>
          <w:spacing w:val="-3"/>
        </w:rPr>
        <w:t xml:space="preserve"> </w:t>
      </w:r>
      <w:r w:rsidR="0054188E">
        <w:rPr>
          <w:spacing w:val="-3"/>
        </w:rP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 that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place within sixty (60) days of the filing of the Request for an Appeal Hearing document.</w:t>
      </w:r>
    </w:p>
    <w:sectPr w:rsidR="00942AF7">
      <w:pgSz w:w="12260" w:h="15860"/>
      <w:pgMar w:top="1340" w:right="1440" w:bottom="900" w:left="1380" w:header="245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DAAD" w14:textId="77777777" w:rsidR="0038018D" w:rsidRDefault="0038018D">
      <w:r>
        <w:separator/>
      </w:r>
    </w:p>
  </w:endnote>
  <w:endnote w:type="continuationSeparator" w:id="0">
    <w:p w14:paraId="753A0205" w14:textId="77777777" w:rsidR="0038018D" w:rsidRDefault="0038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F74" w14:textId="476B75F9" w:rsidR="00942AF7" w:rsidRDefault="00B85E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19E5EEA9" wp14:editId="1A4EDBB4">
              <wp:simplePos x="0" y="0"/>
              <wp:positionH relativeFrom="margin">
                <wp:align>left</wp:align>
              </wp:positionH>
              <wp:positionV relativeFrom="page">
                <wp:posOffset>9499600</wp:posOffset>
              </wp:positionV>
              <wp:extent cx="5400675" cy="2190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67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1A0669" w14:textId="3755549B" w:rsidR="00942AF7" w:rsidRDefault="00955CDF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Terms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Reference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Appeal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Intake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Committee</w:t>
                          </w:r>
                          <w:r w:rsidR="00B85E92">
                            <w:rPr>
                              <w:spacing w:val="-2"/>
                              <w:sz w:val="20"/>
                            </w:rPr>
                            <w:t xml:space="preserve"> – approved by SGC 21 Oct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5EEA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748pt;width:425.25pt;height:17.25pt;z-index:-15759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6ykgEAABsDAAAOAAAAZHJzL2Uyb0RvYy54bWysUs1u2zAMvg/YOwi6L3aCtduMOMW2YkWB&#10;YivQ9QEUWYqNWqJGKrHz9qMUJynaW9GLTFnUx+9Hy6vR9WJnkDrwtZzPSimM19B0flPLx7+/Pn2V&#10;gqLyjerBm1ruDcmr1ccPyyFUZgEt9I1BwSCeqiHUso0xVEVBujVO0QyC8XxoAZ2KvMVN0aAaGN31&#10;xaIsL4sBsAkI2hDx3+vDoVxlfGuNjn+sJRNFX0vmFvOKeV2ntVgtVbVBFdpOTzTUG1g41XkeeoK6&#10;VlGJLXavoFynEQhsnGlwBVjbaZM1sJp5+ULNQ6uCyVrYHAonm+j9YPXv3UO4RxHHHzBygFkEhTvQ&#10;T8TeFEOgaupJnlJF3J2EjhZd+rIEwRfZ2/3JTzNGofnnxWdO6MuFFJrPFvNvJdcJ9Hw7IMUbA06k&#10;opbIeWUGandH8dB6bJnIHOYnJnFcj9ySyjU0exYxcI61pH9bhUaK/tazUSn0Y4HHYn0sMPY/IT+N&#10;pMXD920E2+XJZ9xpMieQuU+vJUX8fJ+7zm969R8AAP//AwBQSwMEFAAGAAgAAAAhAMnJhcndAAAA&#10;CgEAAA8AAABkcnMvZG93bnJldi54bWxMT0FOwzAQvCPxB2uRuFEbaKI2xKkqBCckRBoOHJ14m0SN&#10;1yF22/T3LCe4zc6MZmfyzewGccIp9J403C8UCKTG255aDZ/V690KRIiGrBk8oYYLBtgU11e5yaw/&#10;U4mnXWwFh1DIjIYuxjGTMjQdOhMWfkRibe8nZyKfUyvtZM4c7gb5oFQqnemJP3RmxOcOm8Pu6DRs&#10;v6h86b/f649yX/ZVtVb0lh60vr2Zt08gIs7xzwy/9bk6FNyp9keyQQwaeEhkdrlOGbG+SlQComYq&#10;eWQki1z+n1D8AAAA//8DAFBLAQItABQABgAIAAAAIQC2gziS/gAAAOEBAAATAAAAAAAAAAAAAAAA&#10;AAAAAABbQ29udGVudF9UeXBlc10ueG1sUEsBAi0AFAAGAAgAAAAhADj9If/WAAAAlAEAAAsAAAAA&#10;AAAAAAAAAAAALwEAAF9yZWxzLy5yZWxzUEsBAi0AFAAGAAgAAAAhAJbEnrKSAQAAGwMAAA4AAAAA&#10;AAAAAAAAAAAALgIAAGRycy9lMm9Eb2MueG1sUEsBAi0AFAAGAAgAAAAhAMnJhcndAAAACgEAAA8A&#10;AAAAAAAAAAAAAAAA7AMAAGRycy9kb3ducmV2LnhtbFBLBQYAAAAABAAEAPMAAAD2BAAAAAA=&#10;" filled="f" stroked="f">
              <v:textbox inset="0,0,0,0">
                <w:txbxContent>
                  <w:p w14:paraId="481A0669" w14:textId="3755549B" w:rsidR="00942AF7" w:rsidRDefault="00955CDF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Terms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Appeal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Intake</w:t>
                    </w:r>
                    <w:r>
                      <w:rPr>
                        <w:spacing w:val="-2"/>
                        <w:sz w:val="20"/>
                      </w:rPr>
                      <w:t xml:space="preserve"> Committee</w:t>
                    </w:r>
                    <w:r w:rsidR="00B85E92">
                      <w:rPr>
                        <w:spacing w:val="-2"/>
                        <w:sz w:val="20"/>
                      </w:rPr>
                      <w:t xml:space="preserve"> – approved by SGC 21 Oct 2025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955CDF"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78D5BC93" wp14:editId="10F71DD7">
              <wp:simplePos x="0" y="0"/>
              <wp:positionH relativeFrom="page">
                <wp:posOffset>844296</wp:posOffset>
              </wp:positionH>
              <wp:positionV relativeFrom="page">
                <wp:posOffset>9439656</wp:posOffset>
              </wp:positionV>
              <wp:extent cx="612076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7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765" h="6350">
                            <a:moveTo>
                              <a:pt x="612037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20371" y="6095"/>
                            </a:lnTo>
                            <a:lnTo>
                              <a:pt x="61203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E1E18" id="Graphic 2" o:spid="_x0000_s1026" style="position:absolute;margin-left:66.5pt;margin-top:743.3pt;width:481.95pt;height:.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frIgIAAL0EAAAOAAAAZHJzL2Uyb0RvYy54bWysVMFu2zAMvQ/YPwi6L3ZSJF2NOMXQosOA&#10;oivQDDsrshwbk0WNUmL370fJVmpspw3zQabMJ+rxkfT2dug0Oyt0LZiSLxc5Z8pIqFpzLPm3/cOH&#10;j5w5L0wlNBhV8lfl+O3u/bttbwu1ggZ0pZBREOOK3pa88d4WWeZkozrhFmCVIWcN2AlPWzxmFYqe&#10;onc6W+X5JusBK4sglXP09X508l2MX9dK+q917ZRnuuTEzccV43oIa7bbiuKIwjatnGiIf2DRidbQ&#10;pZdQ98ILdsL2j1BdKxEc1H4hocugrlupYg6UzTL/LZuXRlgVcyFxnL3I5P5fWPl0frHPGKg7+wjy&#10;hyNFst664uIJGzdhhhq7gCXibIgqvl5UVINnkj5ulqv8erPmTJJvc7WOImeiSGflyfnPCmIccX50&#10;fqxBlSzRJEsOJplIlQw11LGGnjOqIXJGNTyMNbTCh3OBXDBZPyPSTDyCs4Oz2kOE+ZBCYHt1veQs&#10;JUJM3zDazLHUQDNU8qW3jfFGzCa/WQdeFCy503uEza/9K3BSM4WTGpwabwp5xysvWtD1c7Ud6LZ6&#10;aLUO6Ts8Hu40srMIoxGfifEMFjthLH5ogwNUr8/IepqXkrufJ4GKM/3FUEOG4UoGJuOQDPT6DuII&#10;RuXR+f3wXaBllsySe+qdJ0jtLorUFsQ/AEZsOGng08lD3YaeidxGRtOGZiTmP81zGML5PqLe/jq7&#10;XwAAAP//AwBQSwMEFAAGAAgAAAAhABjnBabhAAAADgEAAA8AAABkcnMvZG93bnJldi54bWxMjzFP&#10;wzAQhXck/oN1SGzUIalCG+JUgMTGAC0d2Nz4SCLic7DdJPDrubLAdu/u6d33ys1sezGiD50jBdeL&#10;BARS7UxHjYLX3ePVCkSImozuHaGCLwywqc7PSl0YN9ELjtvYCA6hUGgFbYxDIWWoW7Q6LNyAxLd3&#10;562OLH0jjdcTh9tepkmSS6s74g+tHvChxfpje7QKxjn99E/L/f55Ck1q7+139jbulLq8mO9uQUSc&#10;458ZTviMDhUzHdyRTBA96yzjLpGH5SrPQZwsyTpfgzj87m5ykFUp/9eofgAAAP//AwBQSwECLQAU&#10;AAYACAAAACEAtoM4kv4AAADhAQAAEwAAAAAAAAAAAAAAAAAAAAAAW0NvbnRlbnRfVHlwZXNdLnht&#10;bFBLAQItABQABgAIAAAAIQA4/SH/1gAAAJQBAAALAAAAAAAAAAAAAAAAAC8BAABfcmVscy8ucmVs&#10;c1BLAQItABQABgAIAAAAIQCk1UfrIgIAAL0EAAAOAAAAAAAAAAAAAAAAAC4CAABkcnMvZTJvRG9j&#10;LnhtbFBLAQItABQABgAIAAAAIQAY5wWm4QAAAA4BAAAPAAAAAAAAAAAAAAAAAHwEAABkcnMvZG93&#10;bnJldi54bWxQSwUGAAAAAAQABADzAAAAigUAAAAA&#10;" path="m6120371,l,,,6095r6120371,l6120371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5A17" w14:textId="77777777" w:rsidR="0038018D" w:rsidRDefault="0038018D">
      <w:r>
        <w:separator/>
      </w:r>
    </w:p>
  </w:footnote>
  <w:footnote w:type="continuationSeparator" w:id="0">
    <w:p w14:paraId="045A39A8" w14:textId="77777777" w:rsidR="0038018D" w:rsidRDefault="00380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0E8C" w14:textId="77777777" w:rsidR="00942AF7" w:rsidRDefault="00955CD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6096" behindDoc="1" locked="0" layoutInCell="1" allowOverlap="1" wp14:anchorId="6950EC5E" wp14:editId="6088BD5F">
          <wp:simplePos x="0" y="0"/>
          <wp:positionH relativeFrom="page">
            <wp:posOffset>5135880</wp:posOffset>
          </wp:positionH>
          <wp:positionV relativeFrom="page">
            <wp:posOffset>155448</wp:posOffset>
          </wp:positionV>
          <wp:extent cx="1825751" cy="585215"/>
          <wp:effectExtent l="0" t="0" r="0" b="0"/>
          <wp:wrapNone/>
          <wp:docPr id="10198999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5751" cy="585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A6AD3"/>
    <w:multiLevelType w:val="hybridMultilevel"/>
    <w:tmpl w:val="FDA8A5EA"/>
    <w:lvl w:ilvl="0" w:tplc="8BB89BE0">
      <w:start w:val="1"/>
      <w:numFmt w:val="decimal"/>
      <w:lvlText w:val="%1."/>
      <w:lvlJc w:val="left"/>
      <w:pPr>
        <w:ind w:left="847" w:hanging="69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C9E6706">
      <w:start w:val="1"/>
      <w:numFmt w:val="lowerRoman"/>
      <w:lvlText w:val="%2)"/>
      <w:lvlJc w:val="left"/>
      <w:pPr>
        <w:ind w:left="1393" w:hanging="5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E96CB60">
      <w:numFmt w:val="bullet"/>
      <w:lvlText w:val="•"/>
      <w:lvlJc w:val="left"/>
      <w:pPr>
        <w:ind w:left="2293" w:hanging="577"/>
      </w:pPr>
      <w:rPr>
        <w:rFonts w:hint="default"/>
        <w:lang w:val="en-US" w:eastAsia="en-US" w:bidi="ar-SA"/>
      </w:rPr>
    </w:lvl>
    <w:lvl w:ilvl="3" w:tplc="C3DA36C0">
      <w:numFmt w:val="bullet"/>
      <w:lvlText w:val="•"/>
      <w:lvlJc w:val="left"/>
      <w:pPr>
        <w:ind w:left="3186" w:hanging="577"/>
      </w:pPr>
      <w:rPr>
        <w:rFonts w:hint="default"/>
        <w:lang w:val="en-US" w:eastAsia="en-US" w:bidi="ar-SA"/>
      </w:rPr>
    </w:lvl>
    <w:lvl w:ilvl="4" w:tplc="BE463C94">
      <w:numFmt w:val="bullet"/>
      <w:lvlText w:val="•"/>
      <w:lvlJc w:val="left"/>
      <w:pPr>
        <w:ind w:left="4079" w:hanging="577"/>
      </w:pPr>
      <w:rPr>
        <w:rFonts w:hint="default"/>
        <w:lang w:val="en-US" w:eastAsia="en-US" w:bidi="ar-SA"/>
      </w:rPr>
    </w:lvl>
    <w:lvl w:ilvl="5" w:tplc="8250966A">
      <w:numFmt w:val="bullet"/>
      <w:lvlText w:val="•"/>
      <w:lvlJc w:val="left"/>
      <w:pPr>
        <w:ind w:left="4972" w:hanging="577"/>
      </w:pPr>
      <w:rPr>
        <w:rFonts w:hint="default"/>
        <w:lang w:val="en-US" w:eastAsia="en-US" w:bidi="ar-SA"/>
      </w:rPr>
    </w:lvl>
    <w:lvl w:ilvl="6" w:tplc="E3CED856">
      <w:numFmt w:val="bullet"/>
      <w:lvlText w:val="•"/>
      <w:lvlJc w:val="left"/>
      <w:pPr>
        <w:ind w:left="5866" w:hanging="577"/>
      </w:pPr>
      <w:rPr>
        <w:rFonts w:hint="default"/>
        <w:lang w:val="en-US" w:eastAsia="en-US" w:bidi="ar-SA"/>
      </w:rPr>
    </w:lvl>
    <w:lvl w:ilvl="7" w:tplc="1E12204E">
      <w:numFmt w:val="bullet"/>
      <w:lvlText w:val="•"/>
      <w:lvlJc w:val="left"/>
      <w:pPr>
        <w:ind w:left="6759" w:hanging="577"/>
      </w:pPr>
      <w:rPr>
        <w:rFonts w:hint="default"/>
        <w:lang w:val="en-US" w:eastAsia="en-US" w:bidi="ar-SA"/>
      </w:rPr>
    </w:lvl>
    <w:lvl w:ilvl="8" w:tplc="A6D60D22">
      <w:numFmt w:val="bullet"/>
      <w:lvlText w:val="•"/>
      <w:lvlJc w:val="left"/>
      <w:pPr>
        <w:ind w:left="7652" w:hanging="577"/>
      </w:pPr>
      <w:rPr>
        <w:rFonts w:hint="default"/>
        <w:lang w:val="en-US" w:eastAsia="en-US" w:bidi="ar-SA"/>
      </w:rPr>
    </w:lvl>
  </w:abstractNum>
  <w:num w:numId="1" w16cid:durableId="14501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F7"/>
    <w:rsid w:val="000574BC"/>
    <w:rsid w:val="00073C0C"/>
    <w:rsid w:val="00150DD5"/>
    <w:rsid w:val="002B0D5E"/>
    <w:rsid w:val="002F42D4"/>
    <w:rsid w:val="003331F4"/>
    <w:rsid w:val="0036679B"/>
    <w:rsid w:val="003771B0"/>
    <w:rsid w:val="0038018D"/>
    <w:rsid w:val="003D209C"/>
    <w:rsid w:val="004060DC"/>
    <w:rsid w:val="004219C0"/>
    <w:rsid w:val="004D13AA"/>
    <w:rsid w:val="00516010"/>
    <w:rsid w:val="0054188E"/>
    <w:rsid w:val="00597294"/>
    <w:rsid w:val="005D217C"/>
    <w:rsid w:val="005E1315"/>
    <w:rsid w:val="00616E3C"/>
    <w:rsid w:val="0063326B"/>
    <w:rsid w:val="006B22DB"/>
    <w:rsid w:val="006B7383"/>
    <w:rsid w:val="00741526"/>
    <w:rsid w:val="00942AF7"/>
    <w:rsid w:val="009451D2"/>
    <w:rsid w:val="00951D17"/>
    <w:rsid w:val="00955CDF"/>
    <w:rsid w:val="009A2512"/>
    <w:rsid w:val="009B03F7"/>
    <w:rsid w:val="009E411E"/>
    <w:rsid w:val="00AC2D2C"/>
    <w:rsid w:val="00AE09F0"/>
    <w:rsid w:val="00B1049D"/>
    <w:rsid w:val="00B85E92"/>
    <w:rsid w:val="00BC001D"/>
    <w:rsid w:val="00D704A8"/>
    <w:rsid w:val="00DB72B1"/>
    <w:rsid w:val="00EB70B0"/>
    <w:rsid w:val="00E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D95AA"/>
  <w15:docId w15:val="{6CDB0C1A-BCA4-4914-BE40-9AF95801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11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88" w:hanging="586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55CD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E4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11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11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5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E9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5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E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2339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Tassone</dc:creator>
  <cp:lastModifiedBy>Marlene Affleck</cp:lastModifiedBy>
  <cp:revision>2</cp:revision>
  <dcterms:created xsi:type="dcterms:W3CDTF">2025-11-06T16:53:00Z</dcterms:created>
  <dcterms:modified xsi:type="dcterms:W3CDTF">2025-11-06T16:53:00Z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D:20160929230836</vt:lpwstr>
  </property>
</Properties>
</file>